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C7FDA7" w14:textId="77777777" w:rsidR="00764BAA" w:rsidRPr="00B36D89" w:rsidRDefault="00764BAA" w:rsidP="00764BAA">
      <w:r w:rsidRPr="00B36D89">
        <w:rPr>
          <w:noProof/>
        </w:rPr>
        <w:drawing>
          <wp:inline distT="0" distB="0" distL="0" distR="0" wp14:anchorId="5815AEC9" wp14:editId="52DF4663">
            <wp:extent cx="1945786" cy="983592"/>
            <wp:effectExtent l="0" t="0" r="0" b="762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gle.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49583" cy="985511"/>
                    </a:xfrm>
                    <a:prstGeom prst="rect">
                      <a:avLst/>
                    </a:prstGeom>
                  </pic:spPr>
                </pic:pic>
              </a:graphicData>
            </a:graphic>
          </wp:inline>
        </w:drawing>
      </w:r>
      <w:r w:rsidRPr="00B36D89">
        <w:tab/>
      </w:r>
      <w:r w:rsidRPr="00B36D89">
        <w:tab/>
      </w:r>
      <w:r w:rsidRPr="00B36D89">
        <w:tab/>
      </w:r>
      <w:r w:rsidRPr="00B36D89">
        <w:tab/>
        <w:t xml:space="preserve"> </w:t>
      </w:r>
    </w:p>
    <w:p w14:paraId="4E5ADA71" w14:textId="77777777" w:rsidR="00166C06" w:rsidRPr="00B36D89" w:rsidRDefault="00166C06" w:rsidP="00764BAA">
      <w:pPr>
        <w:rPr>
          <w:b/>
        </w:rPr>
      </w:pPr>
    </w:p>
    <w:p w14:paraId="0E7AF4C0" w14:textId="77777777" w:rsidR="00764BAA" w:rsidRPr="00B36D89" w:rsidRDefault="00166C06" w:rsidP="00764BAA">
      <w:pPr>
        <w:rPr>
          <w:b/>
        </w:rPr>
      </w:pPr>
      <w:r w:rsidRPr="00B36D89">
        <w:rPr>
          <w:b/>
        </w:rPr>
        <w:t xml:space="preserve">Stortingsmelding 20: </w:t>
      </w:r>
      <w:r w:rsidR="00764BAA" w:rsidRPr="00B36D89">
        <w:rPr>
          <w:b/>
        </w:rPr>
        <w:t>V</w:t>
      </w:r>
      <w:r w:rsidRPr="00B36D89">
        <w:rPr>
          <w:b/>
        </w:rPr>
        <w:t xml:space="preserve">urdering av hovedutfordringer </w:t>
      </w:r>
      <w:r w:rsidR="00764BAA" w:rsidRPr="00B36D89">
        <w:rPr>
          <w:b/>
        </w:rPr>
        <w:t xml:space="preserve">(kap.3.6) </w:t>
      </w:r>
      <w:r w:rsidRPr="00B36D89">
        <w:rPr>
          <w:b/>
        </w:rPr>
        <w:br/>
      </w:r>
    </w:p>
    <w:p w14:paraId="1E0C191B" w14:textId="77777777" w:rsidR="00764BAA" w:rsidRPr="00B36D89" w:rsidRDefault="00764BAA" w:rsidP="00764BAA">
      <w:pPr>
        <w:rPr>
          <w:i/>
        </w:rPr>
      </w:pPr>
      <w:r w:rsidRPr="00B36D89">
        <w:rPr>
          <w:b/>
        </w:rPr>
        <w:t xml:space="preserve">Norsk Lektorlag er enig med departementet om at </w:t>
      </w:r>
      <w:r w:rsidRPr="00B36D89">
        <w:rPr>
          <w:i/>
        </w:rPr>
        <w:t xml:space="preserve">elevene skal få målrettet og tilpasset opplæring av profesjonelle lærere som kan sitt fag og har evne til å formidle, motivere og tilpasse. God undervisning skaper læringslyst og gjør kunnskap tilgjengelig for elevene. </w:t>
      </w:r>
    </w:p>
    <w:p w14:paraId="733AA42D" w14:textId="77777777" w:rsidR="00B36D89" w:rsidRDefault="00764BAA" w:rsidP="00764BAA">
      <w:pPr>
        <w:widowControl w:val="0"/>
        <w:autoSpaceDE w:val="0"/>
        <w:autoSpaceDN w:val="0"/>
        <w:adjustRightInd w:val="0"/>
        <w:spacing w:after="240"/>
      </w:pPr>
      <w:r w:rsidRPr="00B36D89">
        <w:t>Meldingen omtaler et trendskifte i norsk skole de siste årene – ”betydelig bedre resultater i internasjonale undersøkelser</w:t>
      </w:r>
      <w:r w:rsidR="00584613" w:rsidRPr="00B36D89">
        <w:t xml:space="preserve">” som kan tilskrives at </w:t>
      </w:r>
      <w:r w:rsidRPr="00B36D89">
        <w:t xml:space="preserve">de svakeste er løftet. Et slikt ønsket, og nødvendig, trendskifte krever enda sterkere innsats. På en del områder er det ikke nok å ”videreføre,” </w:t>
      </w:r>
      <w:r w:rsidRPr="00B36D89">
        <w:rPr>
          <w:b/>
        </w:rPr>
        <w:t>men det kreves flere og sterkere tiltak</w:t>
      </w:r>
      <w:r w:rsidR="00584613" w:rsidRPr="00B36D89">
        <w:rPr>
          <w:b/>
        </w:rPr>
        <w:t xml:space="preserve"> </w:t>
      </w:r>
      <w:r w:rsidR="00584613" w:rsidRPr="00B36D89">
        <w:t xml:space="preserve">som </w:t>
      </w:r>
      <w:r w:rsidR="001E1D5D" w:rsidRPr="00B36D89">
        <w:t xml:space="preserve">sikrer et varig trendskifte. </w:t>
      </w:r>
      <w:r w:rsidR="00A568CA" w:rsidRPr="00B36D89">
        <w:t xml:space="preserve">Departementet viser i </w:t>
      </w:r>
      <w:proofErr w:type="spellStart"/>
      <w:r w:rsidR="00A568CA" w:rsidRPr="00B36D89">
        <w:t>kap</w:t>
      </w:r>
      <w:proofErr w:type="spellEnd"/>
      <w:r w:rsidR="00A568CA" w:rsidRPr="00B36D89">
        <w:t xml:space="preserve">. 4.4.1 til nedgangen i antall elever som velger full faglig fordypning i fagene matematikk og fysikk, samtidig som målet i strategiplanen </w:t>
      </w:r>
      <w:r w:rsidR="00A568CA" w:rsidRPr="00B36D89">
        <w:rPr>
          <w:i/>
        </w:rPr>
        <w:t xml:space="preserve">Realfag for fremtiden 2010-2014 </w:t>
      </w:r>
      <w:r w:rsidR="00A568CA" w:rsidRPr="00B36D89">
        <w:t xml:space="preserve">har som mål å øke antallet. </w:t>
      </w:r>
    </w:p>
    <w:p w14:paraId="1E10916E" w14:textId="2BB9358E" w:rsidR="00764BAA" w:rsidRPr="00B36D89" w:rsidRDefault="00764BAA" w:rsidP="00764BAA">
      <w:pPr>
        <w:widowControl w:val="0"/>
        <w:autoSpaceDE w:val="0"/>
        <w:autoSpaceDN w:val="0"/>
        <w:adjustRightInd w:val="0"/>
        <w:spacing w:after="240"/>
      </w:pPr>
      <w:r w:rsidRPr="00B36D89">
        <w:t xml:space="preserve">Departementet foreslår </w:t>
      </w:r>
      <w:r w:rsidR="00584613" w:rsidRPr="00B36D89">
        <w:t xml:space="preserve">noen </w:t>
      </w:r>
      <w:r w:rsidRPr="00B36D89">
        <w:t xml:space="preserve">tiltak som skal heve de sterke </w:t>
      </w:r>
      <w:r w:rsidRPr="00B36D89">
        <w:rPr>
          <w:rFonts w:asciiTheme="majorHAnsi" w:hAnsiTheme="majorHAnsi" w:cs="Times"/>
          <w:i/>
        </w:rPr>
        <w:t>(styrke informasjonen om muligheten til å ta fag fra høyere nivå, bruke erfaringene fra den virtuelle matematikkskolen til å utvikle tilsvarende ordninger for flere fagområder, utvikle læringsressurser for elever på høyt faglig nivå)</w:t>
      </w:r>
      <w:r w:rsidRPr="00B36D89">
        <w:rPr>
          <w:rFonts w:asciiTheme="majorHAnsi" w:hAnsiTheme="majorHAnsi" w:cs="Times"/>
        </w:rPr>
        <w:t xml:space="preserve">. </w:t>
      </w:r>
      <w:r w:rsidRPr="00B36D89">
        <w:t xml:space="preserve">Også de sterke elevene trenger god undervisning – de klarer seg ikke selv. Lærere som selv er usikre eller har </w:t>
      </w:r>
      <w:r w:rsidR="00584613" w:rsidRPr="00B36D89">
        <w:t>svak faglig kompetanse, kan vanskelig</w:t>
      </w:r>
      <w:r w:rsidRPr="00B36D89">
        <w:t xml:space="preserve"> identifisere </w:t>
      </w:r>
      <w:r w:rsidR="00584613" w:rsidRPr="00B36D89">
        <w:t xml:space="preserve">de sterkeste elevene </w:t>
      </w:r>
      <w:r w:rsidRPr="00B36D89">
        <w:t>og tilpasse undervisning</w:t>
      </w:r>
      <w:r w:rsidR="00584613" w:rsidRPr="00B36D89">
        <w:t xml:space="preserve"> til dem.</w:t>
      </w:r>
      <w:r w:rsidR="00584613" w:rsidRPr="00B36D89">
        <w:rPr>
          <w:rFonts w:asciiTheme="majorHAnsi" w:hAnsiTheme="majorHAnsi" w:cs="Times"/>
        </w:rPr>
        <w:t xml:space="preserve"> </w:t>
      </w:r>
    </w:p>
    <w:p w14:paraId="7CA7E294" w14:textId="77777777" w:rsidR="00764BAA" w:rsidRPr="00B36D89" w:rsidRDefault="00764BAA" w:rsidP="00764BAA">
      <w:pPr>
        <w:widowControl w:val="0"/>
        <w:autoSpaceDE w:val="0"/>
        <w:autoSpaceDN w:val="0"/>
        <w:adjustRightInd w:val="0"/>
        <w:spacing w:after="240"/>
      </w:pPr>
      <w:r w:rsidRPr="00B36D89">
        <w:t>Norsk Lektorlag deler departementets ønske om en sterk, offentlig fellesskole og om en god kvalitet p</w:t>
      </w:r>
      <w:r w:rsidR="001E1D5D" w:rsidRPr="00B36D89">
        <w:t xml:space="preserve">å opplæringen over hele landet, og vi etterlyser derfor kraftigere </w:t>
      </w:r>
      <w:r w:rsidRPr="00B36D89">
        <w:t xml:space="preserve">tiltak for å sikre høyere kvalitet over hele landet. Evalueringen av Kunnskapsløftet og nasjonale prøver har </w:t>
      </w:r>
      <w:r w:rsidR="001E1D5D" w:rsidRPr="00B36D89">
        <w:t xml:space="preserve">til nå </w:t>
      </w:r>
      <w:r w:rsidRPr="00B36D89">
        <w:t xml:space="preserve">vist så store geografiske forskjeller at det er vanskelig å opprettholde forestillingen om en fellesskole. </w:t>
      </w:r>
    </w:p>
    <w:p w14:paraId="4FAC3BC1" w14:textId="77777777" w:rsidR="00764BAA" w:rsidRPr="00B36D89" w:rsidRDefault="00764BAA" w:rsidP="00764BAA">
      <w:pPr>
        <w:widowControl w:val="0"/>
        <w:autoSpaceDE w:val="0"/>
        <w:autoSpaceDN w:val="0"/>
        <w:adjustRightInd w:val="0"/>
        <w:spacing w:after="240"/>
      </w:pPr>
      <w:r w:rsidRPr="00B36D89">
        <w:t>Det lille vi har av kompetansekartlegging</w:t>
      </w:r>
      <w:r w:rsidRPr="00B36D89">
        <w:rPr>
          <w:rStyle w:val="Fotnotereferanse"/>
        </w:rPr>
        <w:footnoteReference w:id="1"/>
      </w:r>
      <w:r w:rsidRPr="00B36D89">
        <w:t xml:space="preserve"> viser også store variasjoner. Vil man sikre kompetansen i alle skoler, må det forskriftsfestes krav til kompetanse i fag for å undervise. Det trengs etter- og videreutdanning i fagdidaktikk – og særlig i fagdidaktikk rettet mot elever som har ulikt behov for progresjon. (Raskere progresjon er i følge </w:t>
      </w:r>
      <w:proofErr w:type="spellStart"/>
      <w:r w:rsidRPr="00B36D89">
        <w:t>Hattie</w:t>
      </w:r>
      <w:proofErr w:type="spellEnd"/>
      <w:r w:rsidRPr="00B36D89">
        <w:t xml:space="preserve"> et svært virksomt tiltak.) Kap.2.4.10 sier for lite om </w:t>
      </w:r>
      <w:r w:rsidR="001E1D5D" w:rsidRPr="00B36D89">
        <w:t>kompetanse</w:t>
      </w:r>
      <w:r w:rsidRPr="00B36D89">
        <w:t xml:space="preserve">situasjonen. </w:t>
      </w:r>
    </w:p>
    <w:p w14:paraId="1D7D3BD9" w14:textId="77777777" w:rsidR="00764BAA" w:rsidRPr="00B36D89" w:rsidRDefault="00764BAA" w:rsidP="00764BAA">
      <w:pPr>
        <w:widowControl w:val="0"/>
        <w:autoSpaceDE w:val="0"/>
        <w:autoSpaceDN w:val="0"/>
        <w:adjustRightInd w:val="0"/>
        <w:spacing w:after="240"/>
      </w:pPr>
      <w:r w:rsidRPr="00B36D89">
        <w:t>Norsk Lektorlag mener at St.meld. 20 vise</w:t>
      </w:r>
      <w:r w:rsidR="001E1D5D" w:rsidRPr="00B36D89">
        <w:t xml:space="preserve">r altfor liten interesse for Studiespesialiserende program,  </w:t>
      </w:r>
      <w:r w:rsidRPr="00B36D89">
        <w:t xml:space="preserve">og </w:t>
      </w:r>
      <w:r w:rsidR="001E1D5D" w:rsidRPr="00B36D89">
        <w:t xml:space="preserve">at </w:t>
      </w:r>
      <w:r w:rsidRPr="00B36D89">
        <w:t xml:space="preserve">det er uforståelig at skoletilbudet til halve ungdomskullet vies så liten oppmerksomhet. Økt oppmerksomhet om </w:t>
      </w:r>
      <w:r w:rsidR="001E1D5D" w:rsidRPr="00B36D89">
        <w:t xml:space="preserve">kvaliteten i grunnskolen er både viktig </w:t>
      </w:r>
      <w:r w:rsidRPr="00B36D89">
        <w:t xml:space="preserve">og bra, det </w:t>
      </w:r>
      <w:r w:rsidRPr="00B36D89">
        <w:lastRenderedPageBreak/>
        <w:t xml:space="preserve">er her grunnlaget legges både for frafall og for </w:t>
      </w:r>
      <w:r w:rsidR="001E1D5D" w:rsidRPr="00B36D89">
        <w:t xml:space="preserve">vellykket </w:t>
      </w:r>
      <w:r w:rsidRPr="00B36D89">
        <w:t>vid</w:t>
      </w:r>
      <w:r w:rsidR="001E1D5D" w:rsidRPr="00B36D89">
        <w:t>ere utdanning, men også Studiespesialiserende program</w:t>
      </w:r>
      <w:r w:rsidRPr="00B36D89">
        <w:t xml:space="preserve"> trenger politisk oppmerksomhet. Meldingen nevner i </w:t>
      </w:r>
      <w:proofErr w:type="spellStart"/>
      <w:r w:rsidRPr="00B36D89">
        <w:t>kap</w:t>
      </w:r>
      <w:proofErr w:type="spellEnd"/>
      <w:r w:rsidRPr="00B36D89">
        <w:t xml:space="preserve">. 6.3.3 at </w:t>
      </w:r>
      <w:r w:rsidRPr="00B36D89">
        <w:rPr>
          <w:i/>
        </w:rPr>
        <w:t>Evalueringen av Kunnskapsløftet har ingen studier av de studiefor</w:t>
      </w:r>
      <w:r w:rsidR="001E1D5D" w:rsidRPr="00B36D89">
        <w:rPr>
          <w:i/>
        </w:rPr>
        <w:t xml:space="preserve">beredende utdanningsprogrammene </w:t>
      </w:r>
      <w:r w:rsidR="001E1D5D" w:rsidRPr="00B36D89">
        <w:t xml:space="preserve">men sier ikke noe om planer for å rette på dette. </w:t>
      </w:r>
    </w:p>
    <w:p w14:paraId="686DBA6A" w14:textId="77777777" w:rsidR="00764BAA" w:rsidRPr="00B36D89" w:rsidRDefault="00764BAA" w:rsidP="00764BAA">
      <w:pPr>
        <w:widowControl w:val="0"/>
        <w:autoSpaceDE w:val="0"/>
        <w:autoSpaceDN w:val="0"/>
        <w:adjustRightInd w:val="0"/>
        <w:spacing w:after="240"/>
        <w:rPr>
          <w:b/>
        </w:rPr>
      </w:pPr>
      <w:r w:rsidRPr="00B36D89">
        <w:rPr>
          <w:b/>
        </w:rPr>
        <w:t xml:space="preserve">Norsk Lektorlags kommentarer og enkeltforslag: </w:t>
      </w:r>
    </w:p>
    <w:p w14:paraId="54955264" w14:textId="78F2CA05" w:rsidR="004D23DC" w:rsidRPr="00B36D89" w:rsidRDefault="00764BAA" w:rsidP="00764BAA">
      <w:pPr>
        <w:widowControl w:val="0"/>
        <w:autoSpaceDE w:val="0"/>
        <w:autoSpaceDN w:val="0"/>
        <w:adjustRightInd w:val="0"/>
        <w:spacing w:after="240"/>
      </w:pPr>
      <w:r w:rsidRPr="00B36D89">
        <w:rPr>
          <w:b/>
        </w:rPr>
        <w:t xml:space="preserve">Forslag 1: </w:t>
      </w:r>
      <w:r w:rsidR="00166C06" w:rsidRPr="00B36D89">
        <w:rPr>
          <w:b/>
        </w:rPr>
        <w:t>Kartlegging av lærerkompetanse</w:t>
      </w:r>
      <w:r w:rsidR="000A5A18" w:rsidRPr="00B36D89">
        <w:rPr>
          <w:b/>
        </w:rPr>
        <w:t>.</w:t>
      </w:r>
      <w:r w:rsidR="00166C06" w:rsidRPr="00B36D89">
        <w:t xml:space="preserve"> </w:t>
      </w:r>
      <w:r w:rsidRPr="00B36D89">
        <w:t>Det bebudede systemet for kartlegging av lærerkompetanse startes umiddelbart med en kartlegging av kompetansen – og aldersutvikling – på lærere som underviser ulike fag – særlig i SSP og i fe</w:t>
      </w:r>
      <w:r w:rsidR="004D23DC" w:rsidRPr="00B36D89">
        <w:t>llesfagene på YF. Kap.4.4.1 viser til bekymringsfull situasjon allerede i 2008</w:t>
      </w:r>
      <w:r w:rsidR="003327A8" w:rsidRPr="00B36D89">
        <w:t>,</w:t>
      </w:r>
      <w:r w:rsidR="004D23DC" w:rsidRPr="00B36D89">
        <w:t xml:space="preserve"> og utviklingen burde ha vært fulgt nøye</w:t>
      </w:r>
      <w:r w:rsidR="00B36D89" w:rsidRPr="00B36D89">
        <w:t>,</w:t>
      </w:r>
      <w:r w:rsidR="004D23DC" w:rsidRPr="00B36D89">
        <w:rPr>
          <w:rStyle w:val="Fotnotereferanse"/>
        </w:rPr>
        <w:footnoteReference w:id="2"/>
      </w:r>
      <w:r w:rsidR="00B36D89" w:rsidRPr="00B36D89">
        <w:t xml:space="preserve"> og dette gjelder alle fag. </w:t>
      </w:r>
    </w:p>
    <w:p w14:paraId="7F86B704" w14:textId="77777777" w:rsidR="00764BAA" w:rsidRPr="00B36D89" w:rsidRDefault="00764BAA" w:rsidP="00764BAA">
      <w:pPr>
        <w:widowControl w:val="0"/>
        <w:autoSpaceDE w:val="0"/>
        <w:autoSpaceDN w:val="0"/>
        <w:adjustRightInd w:val="0"/>
        <w:spacing w:after="240"/>
      </w:pPr>
      <w:r w:rsidRPr="00B36D89">
        <w:rPr>
          <w:b/>
        </w:rPr>
        <w:t xml:space="preserve">Forslag 2: </w:t>
      </w:r>
      <w:r w:rsidR="00166C06" w:rsidRPr="00B36D89">
        <w:rPr>
          <w:b/>
        </w:rPr>
        <w:t>Strengere kompetansekrav</w:t>
      </w:r>
      <w:r w:rsidR="000A5A18" w:rsidRPr="00B36D89">
        <w:rPr>
          <w:b/>
        </w:rPr>
        <w:t>.</w:t>
      </w:r>
      <w:r w:rsidR="00166C06" w:rsidRPr="00B36D89">
        <w:t xml:space="preserve"> </w:t>
      </w:r>
      <w:r w:rsidRPr="00B36D89">
        <w:t xml:space="preserve">Forskriftsendring med strengere krav om kompetanse for å undervise – og krav om mastergrad for å undervise i SSP og PÅB. </w:t>
      </w:r>
    </w:p>
    <w:p w14:paraId="6E281BD9" w14:textId="77777777" w:rsidR="00764BAA" w:rsidRPr="00B36D89" w:rsidRDefault="00764BAA" w:rsidP="00764BAA">
      <w:pPr>
        <w:widowControl w:val="0"/>
        <w:autoSpaceDE w:val="0"/>
        <w:autoSpaceDN w:val="0"/>
        <w:adjustRightInd w:val="0"/>
        <w:spacing w:after="240"/>
      </w:pPr>
      <w:r w:rsidRPr="00B36D89">
        <w:rPr>
          <w:b/>
        </w:rPr>
        <w:t xml:space="preserve">Forslag 3: </w:t>
      </w:r>
      <w:r w:rsidR="00166C06" w:rsidRPr="00B36D89">
        <w:rPr>
          <w:b/>
        </w:rPr>
        <w:t>Undersøke tidsbruk og byråkrati</w:t>
      </w:r>
      <w:r w:rsidR="000A5A18" w:rsidRPr="00B36D89">
        <w:rPr>
          <w:b/>
        </w:rPr>
        <w:t>.</w:t>
      </w:r>
      <w:r w:rsidR="00166C06" w:rsidRPr="00B36D89">
        <w:t xml:space="preserve"> </w:t>
      </w:r>
      <w:r w:rsidRPr="00B36D89">
        <w:t>Det omtalte forskningsprosjektet om kvalitet, innhold og relevans for de studieforberedende utdanningsprogrammene bør omfatte undersøkelser av rammebetingelsene som gjelder tidsbruk og dokumentasjon/byråk</w:t>
      </w:r>
      <w:r w:rsidR="00166C06" w:rsidRPr="00B36D89">
        <w:t xml:space="preserve">rati </w:t>
      </w:r>
      <w:r w:rsidRPr="00B36D89">
        <w:t xml:space="preserve">og elevvurderingssystemer. </w:t>
      </w:r>
    </w:p>
    <w:p w14:paraId="13C1365E" w14:textId="153D0819" w:rsidR="00764BAA" w:rsidRPr="00B36D89" w:rsidRDefault="00764BAA" w:rsidP="00764BAA">
      <w:pPr>
        <w:widowControl w:val="0"/>
        <w:autoSpaceDE w:val="0"/>
        <w:autoSpaceDN w:val="0"/>
        <w:adjustRightInd w:val="0"/>
        <w:spacing w:after="240"/>
      </w:pPr>
      <w:r w:rsidRPr="00B36D89">
        <w:rPr>
          <w:b/>
        </w:rPr>
        <w:t xml:space="preserve">Forslag 4: </w:t>
      </w:r>
      <w:r w:rsidR="00166C06" w:rsidRPr="00B36D89">
        <w:rPr>
          <w:b/>
        </w:rPr>
        <w:t>Frigjøre tid til undervisning</w:t>
      </w:r>
      <w:r w:rsidR="000A5A18" w:rsidRPr="00B36D89">
        <w:rPr>
          <w:b/>
        </w:rPr>
        <w:t>.</w:t>
      </w:r>
      <w:r w:rsidR="00166C06" w:rsidRPr="00B36D89">
        <w:t xml:space="preserve"> </w:t>
      </w:r>
      <w:r w:rsidRPr="00B36D89">
        <w:t>Oppvurdering av undervisningens betydning. Meldingen foreslår forsøk med flerfaglig kompetanse på 5.-7.trinn for å styrke lærerens rolle gjennom å frigjøre tid til undervisning. Også på ungdomstrinnet og i videregående skole har elever sosi</w:t>
      </w:r>
      <w:r w:rsidR="001E1D5D" w:rsidRPr="00B36D89">
        <w:t xml:space="preserve">ale/helsemessige vansker, og </w:t>
      </w:r>
      <w:r w:rsidRPr="00B36D89">
        <w:t xml:space="preserve"> undervisningspersonalet </w:t>
      </w:r>
      <w:r w:rsidR="001E1D5D" w:rsidRPr="00B36D89">
        <w:t xml:space="preserve">har verken </w:t>
      </w:r>
      <w:r w:rsidRPr="00B36D89">
        <w:t>kompetanse</w:t>
      </w:r>
      <w:r w:rsidR="001E1D5D" w:rsidRPr="00B36D89">
        <w:t xml:space="preserve"> eller ressurser til å håndtere slike problemer. </w:t>
      </w:r>
    </w:p>
    <w:p w14:paraId="764F623A" w14:textId="77777777" w:rsidR="00764BAA" w:rsidRPr="00B36D89" w:rsidRDefault="00CE68B6" w:rsidP="00764BAA">
      <w:pPr>
        <w:widowControl w:val="0"/>
        <w:autoSpaceDE w:val="0"/>
        <w:autoSpaceDN w:val="0"/>
        <w:adjustRightInd w:val="0"/>
        <w:spacing w:after="240"/>
      </w:pPr>
      <w:r w:rsidRPr="00B36D89">
        <w:rPr>
          <w:b/>
        </w:rPr>
        <w:t>Forslag 5</w:t>
      </w:r>
      <w:r w:rsidR="00764BAA" w:rsidRPr="00B36D89">
        <w:rPr>
          <w:b/>
        </w:rPr>
        <w:t xml:space="preserve">: </w:t>
      </w:r>
      <w:r w:rsidR="00166C06" w:rsidRPr="00B36D89">
        <w:rPr>
          <w:b/>
        </w:rPr>
        <w:t>Redusere dokumentasjonspresset</w:t>
      </w:r>
      <w:r w:rsidR="000A5A18" w:rsidRPr="00B36D89">
        <w:rPr>
          <w:b/>
        </w:rPr>
        <w:t>.</w:t>
      </w:r>
      <w:r w:rsidR="00166C06" w:rsidRPr="00B36D89">
        <w:t xml:space="preserve"> </w:t>
      </w:r>
      <w:r w:rsidR="00764BAA" w:rsidRPr="00B36D89">
        <w:t>Norsk Lektorlag etterlyser kartlegging av og tiltak som kan redusere dokumentasjonspresset i skolen, og mener det trengs mer kunnskap om selve styringsstrukturen og rollefordelingen mellom stat, direktorat, fylkeskommuner/kommuner, den enkelte skole og den enkelte lærer. Vi etterlyser en gjennomgang av opplæringsloven med forskrift med tanke på at undervisningspersonalets ressurser først og fremst skal r</w:t>
      </w:r>
      <w:r w:rsidR="00166C06" w:rsidRPr="00B36D89">
        <w:t>ettes mot undervisningsarbeidet</w:t>
      </w:r>
      <w:r w:rsidR="00764BAA" w:rsidRPr="00B36D89">
        <w:t xml:space="preserve">/skolens kjerneoppgaver. </w:t>
      </w:r>
    </w:p>
    <w:p w14:paraId="116C7DE4" w14:textId="7B484EF1" w:rsidR="00B36D89" w:rsidRPr="00B36D89" w:rsidRDefault="00CE68B6" w:rsidP="00764BAA">
      <w:pPr>
        <w:widowControl w:val="0"/>
        <w:autoSpaceDE w:val="0"/>
        <w:autoSpaceDN w:val="0"/>
        <w:adjustRightInd w:val="0"/>
        <w:spacing w:after="240"/>
      </w:pPr>
      <w:r w:rsidRPr="00B36D89">
        <w:rPr>
          <w:b/>
        </w:rPr>
        <w:t>Forslag 6</w:t>
      </w:r>
      <w:r w:rsidR="00764BAA" w:rsidRPr="00B36D89">
        <w:rPr>
          <w:b/>
        </w:rPr>
        <w:t xml:space="preserve">: </w:t>
      </w:r>
      <w:r w:rsidR="00166C06" w:rsidRPr="00B36D89">
        <w:rPr>
          <w:b/>
        </w:rPr>
        <w:t>Ikke svekke kravet til generell studiekompetanse</w:t>
      </w:r>
      <w:r w:rsidR="000A5A18" w:rsidRPr="00B36D89">
        <w:rPr>
          <w:b/>
        </w:rPr>
        <w:t>.</w:t>
      </w:r>
      <w:r w:rsidR="00166C06" w:rsidRPr="00B36D89">
        <w:t xml:space="preserve"> </w:t>
      </w:r>
      <w:r w:rsidR="00764BAA" w:rsidRPr="00B36D89">
        <w:t>Norsk Lektorlag er fornøyd med at departementet ikke vil svekke kravet til generell studiekompetanse. Norsk Lektorlag mener at verken den enkelte elev eller samfunnet er tjent med at ungdom forledes til å starte på høyere utdanning uten å ha gode forutsetninger for å</w:t>
      </w:r>
      <w:r w:rsidR="000A5A18" w:rsidRPr="00B36D89">
        <w:t xml:space="preserve"> kunne gjennomføre. (</w:t>
      </w:r>
      <w:proofErr w:type="spellStart"/>
      <w:r w:rsidR="000A5A18" w:rsidRPr="00B36D89">
        <w:t>kap</w:t>
      </w:r>
      <w:proofErr w:type="spellEnd"/>
      <w:r w:rsidR="000A5A18" w:rsidRPr="00B36D89">
        <w:t>. 6.3.1 nevner at</w:t>
      </w:r>
      <w:r w:rsidR="00764BAA" w:rsidRPr="00B36D89">
        <w:t xml:space="preserve"> nesten én av fire avbryter bachelor-studiet.)</w:t>
      </w:r>
      <w:r w:rsidR="000A5A18" w:rsidRPr="00B36D89">
        <w:t xml:space="preserve"> </w:t>
      </w:r>
      <w:r w:rsidR="000A5A18" w:rsidRPr="00B36D89">
        <w:rPr>
          <w:u w:val="single"/>
        </w:rPr>
        <w:t>Påbygningskurset bør</w:t>
      </w:r>
      <w:r w:rsidR="00764BAA" w:rsidRPr="00B36D89">
        <w:rPr>
          <w:u w:val="single"/>
        </w:rPr>
        <w:t xml:space="preserve"> bli et to-</w:t>
      </w:r>
      <w:proofErr w:type="spellStart"/>
      <w:r w:rsidR="00764BAA" w:rsidRPr="00B36D89">
        <w:rPr>
          <w:u w:val="single"/>
        </w:rPr>
        <w:t>årig</w:t>
      </w:r>
      <w:proofErr w:type="spellEnd"/>
      <w:r w:rsidR="00764BAA" w:rsidRPr="00B36D89">
        <w:rPr>
          <w:u w:val="single"/>
        </w:rPr>
        <w:t xml:space="preserve"> tilbud</w:t>
      </w:r>
      <w:r w:rsidR="00764BAA" w:rsidRPr="00B36D89">
        <w:t xml:space="preserve">, </w:t>
      </w:r>
      <w:r w:rsidR="003327A8" w:rsidRPr="00B36D89">
        <w:t xml:space="preserve">for å sikre elevenes forkunnskaper, </w:t>
      </w:r>
      <w:r w:rsidR="00764BAA" w:rsidRPr="00B36D89">
        <w:t xml:space="preserve">ikke minst av hensyn til fagene norsk og matematikk dere de fleste trenger tid til faglig modning. </w:t>
      </w:r>
      <w:r w:rsidR="00B36D89" w:rsidRPr="00B36D89">
        <w:t xml:space="preserve"> Norsk Lektorlag støtter forslaget om rett til påbygning til studiekompetanse etter å ha tatt fagbrev. </w:t>
      </w:r>
    </w:p>
    <w:p w14:paraId="46404185" w14:textId="77777777" w:rsidR="00764BAA" w:rsidRPr="00B36D89" w:rsidRDefault="00CE68B6" w:rsidP="00764BAA">
      <w:pPr>
        <w:widowControl w:val="0"/>
        <w:autoSpaceDE w:val="0"/>
        <w:autoSpaceDN w:val="0"/>
        <w:adjustRightInd w:val="0"/>
        <w:spacing w:after="240"/>
      </w:pPr>
      <w:r w:rsidRPr="00B36D89">
        <w:rPr>
          <w:b/>
        </w:rPr>
        <w:t>Forslag 7</w:t>
      </w:r>
      <w:r w:rsidR="00764BAA" w:rsidRPr="00B36D89">
        <w:rPr>
          <w:b/>
        </w:rPr>
        <w:t xml:space="preserve">: </w:t>
      </w:r>
      <w:r w:rsidR="00166C06" w:rsidRPr="00B36D89">
        <w:rPr>
          <w:b/>
        </w:rPr>
        <w:t>Religion og etikk obligatorisk</w:t>
      </w:r>
      <w:r w:rsidR="000A5A18" w:rsidRPr="00B36D89">
        <w:rPr>
          <w:b/>
        </w:rPr>
        <w:t xml:space="preserve"> del av studiekompetanse.</w:t>
      </w:r>
      <w:r w:rsidR="00166C06" w:rsidRPr="00B36D89">
        <w:t xml:space="preserve"> </w:t>
      </w:r>
      <w:r w:rsidR="00764BAA" w:rsidRPr="00B36D89">
        <w:t xml:space="preserve">Norsk Lektorlag foreslår </w:t>
      </w:r>
      <w:r w:rsidR="00764BAA" w:rsidRPr="00B36D89">
        <w:lastRenderedPageBreak/>
        <w:t>at faget Religion og etikk blir et nytt, obligatorisk fag for dem som v</w:t>
      </w:r>
      <w:r w:rsidR="000A5A18" w:rsidRPr="00B36D89">
        <w:t xml:space="preserve">il ha generell studiekompetanse, og legges inn i Påbygningskurset. </w:t>
      </w:r>
      <w:r w:rsidR="00764BAA" w:rsidRPr="00B36D89">
        <w:t xml:space="preserve"> I et stadig mer pluralistisk samfunn vil dette faget bidra til kulturell forståelse og etisk refleksjon sammen med medelever </w:t>
      </w:r>
      <w:r w:rsidR="000A5A18" w:rsidRPr="00B36D89">
        <w:t>med ulike religioner og livssyn.</w:t>
      </w:r>
      <w:r w:rsidR="003327A8" w:rsidRPr="00B36D89">
        <w:t xml:space="preserve"> Faget bidrar til opplæring i medborgerskap og gir et godt grunnlag for høyere utdanning. </w:t>
      </w:r>
    </w:p>
    <w:p w14:paraId="2A1E72DE" w14:textId="400478C1" w:rsidR="003327A8" w:rsidRPr="00B36D89" w:rsidRDefault="006D43B8" w:rsidP="00764BAA">
      <w:pPr>
        <w:widowControl w:val="0"/>
        <w:autoSpaceDE w:val="0"/>
        <w:autoSpaceDN w:val="0"/>
        <w:adjustRightInd w:val="0"/>
        <w:spacing w:after="240"/>
      </w:pPr>
      <w:r>
        <w:rPr>
          <w:b/>
        </w:rPr>
        <w:t>Forslag 8</w:t>
      </w:r>
      <w:r w:rsidR="003327A8" w:rsidRPr="00B36D89">
        <w:rPr>
          <w:b/>
        </w:rPr>
        <w:t xml:space="preserve">: </w:t>
      </w:r>
      <w:r w:rsidR="003327A8" w:rsidRPr="00B36D89">
        <w:t xml:space="preserve">Norsk Lektorlag støtter forslag </w:t>
      </w:r>
      <w:r w:rsidR="00A568CA" w:rsidRPr="00B36D89">
        <w:t>om å etablere form</w:t>
      </w:r>
      <w:r w:rsidR="00B36D89" w:rsidRPr="00B36D89">
        <w:t>givning som eget studieforberedende</w:t>
      </w:r>
      <w:r w:rsidR="00A568CA" w:rsidRPr="00B36D89">
        <w:t xml:space="preserve"> utdanningsprogram. Programmet bør få navnet Kunst, arkitektur og design. </w:t>
      </w:r>
    </w:p>
    <w:p w14:paraId="6D8E3345" w14:textId="065F516F" w:rsidR="00764BAA" w:rsidRPr="00B36D89" w:rsidRDefault="006D43B8" w:rsidP="00166C06">
      <w:pPr>
        <w:widowControl w:val="0"/>
        <w:autoSpaceDE w:val="0"/>
        <w:autoSpaceDN w:val="0"/>
        <w:adjustRightInd w:val="0"/>
        <w:spacing w:after="240"/>
      </w:pPr>
      <w:r>
        <w:rPr>
          <w:b/>
        </w:rPr>
        <w:t>Forslag 9</w:t>
      </w:r>
      <w:r w:rsidR="00764BAA" w:rsidRPr="00B36D89">
        <w:rPr>
          <w:b/>
        </w:rPr>
        <w:t xml:space="preserve">: </w:t>
      </w:r>
      <w:r w:rsidR="00166C06" w:rsidRPr="00B36D89">
        <w:rPr>
          <w:b/>
        </w:rPr>
        <w:t>Hybrid-tilbud</w:t>
      </w:r>
      <w:r w:rsidR="000A5A18" w:rsidRPr="00B36D89">
        <w:t xml:space="preserve">. </w:t>
      </w:r>
      <w:r w:rsidR="00764BAA" w:rsidRPr="00B36D89">
        <w:t xml:space="preserve">Norsk Lektorlag er fornøyd med at flere foreslåtte tiltak i St.meld.20 peker i retning av et mer mangfoldig og variert tilbud i yrkesopplæringen. Det har virket uheldig å ville tvinge all yrkesopplæring inn i én modell, og det er uheldig å forvente at alle elever som ikke velger studieforberedende program, skal kunne ta fagbrev innenfor </w:t>
      </w:r>
      <w:r w:rsidR="00166C06" w:rsidRPr="00B36D89">
        <w:br/>
      </w:r>
      <w:r w:rsidR="00764BAA" w:rsidRPr="00B36D89">
        <w:t>2+2-modellen.  Selv om skolesystemet blir ”</w:t>
      </w:r>
      <w:proofErr w:type="spellStart"/>
      <w:r w:rsidR="00764BAA" w:rsidRPr="00B36D89">
        <w:t>ryddigere</w:t>
      </w:r>
      <w:proofErr w:type="spellEnd"/>
      <w:r w:rsidR="00764BAA" w:rsidRPr="00B36D89">
        <w:t xml:space="preserve">” sett ovenfra, svekkes kvaliteten i skolen når alt skal tilpasses kun to hovedløp, vist i meldingens figur 6.1. </w:t>
      </w:r>
      <w:r w:rsidR="000A5A18" w:rsidRPr="00B36D89">
        <w:t xml:space="preserve"> Norsk Lektorlag mener videregående skole bør tilby to hovedløp, som i dag, men i tillegg bør det utvikles flere tilbud eller hybrider. </w:t>
      </w:r>
      <w:r w:rsidR="00764BAA" w:rsidRPr="00B36D89">
        <w:t>Departementet foreslår å endre utdanningsprogrammet Medier – og kommunikasjon fra et yrkesfaglig til et studiespesialiserende program. (</w:t>
      </w:r>
      <w:proofErr w:type="spellStart"/>
      <w:r w:rsidR="00764BAA" w:rsidRPr="00B36D89">
        <w:t>kap</w:t>
      </w:r>
      <w:proofErr w:type="spellEnd"/>
      <w:r w:rsidR="00764BAA" w:rsidRPr="00B36D89">
        <w:t>. 6.2.3) Med dagens ordning beskrives Medier og komm</w:t>
      </w:r>
      <w:r w:rsidR="00166C06" w:rsidRPr="00B36D89">
        <w:t xml:space="preserve">unikasjon som en hybrid, </w:t>
      </w:r>
      <w:r w:rsidR="00764BAA" w:rsidRPr="00B36D89">
        <w:t xml:space="preserve">der det store flertallet av elevene tar sikte på høyere utdanning innen faget, men samtidig får en praktisk, og yrkesrettet opplæring i videregående skole. Ved å gjøre om dette tilbudet til et studieforberedende program, kan man risikere at tilbudet blir </w:t>
      </w:r>
      <w:r w:rsidR="000A5A18" w:rsidRPr="00B36D89">
        <w:t>mer teoretisk, mindre praktisk og mister de yrkesfaglige kvalitetene. I o</w:t>
      </w:r>
      <w:r w:rsidR="00764BAA" w:rsidRPr="00B36D89">
        <w:t>mtalen av program for musikk, dans og drama, kap.6.3.3 pekes det på at utøvende fag må få større plass. Både program for musikk, dans og drama, program for formgivingsfag og program for medier- og kommunikasjon representerer u</w:t>
      </w:r>
      <w:r w:rsidR="000A5A18" w:rsidRPr="00B36D89">
        <w:t>tdanningstilbud der fagenes</w:t>
      </w:r>
      <w:r w:rsidR="00764BAA" w:rsidRPr="00B36D89">
        <w:t xml:space="preserve"> egenart gjør det vanskelig å få til gode løsninger innenfor et rigid, todelt system</w:t>
      </w:r>
      <w:r w:rsidR="00E70245" w:rsidRPr="00B36D89">
        <w:t xml:space="preserve">, </w:t>
      </w:r>
      <w:r w:rsidR="000A5A18" w:rsidRPr="00B36D89">
        <w:t>enten praktisk eller akademisk</w:t>
      </w:r>
      <w:r w:rsidR="00764BAA" w:rsidRPr="00B36D89">
        <w:t xml:space="preserve">. Ønsker fra fagmiljøene rundt program for Medier og kommunikasjon tilsier at elevene her bør få </w:t>
      </w:r>
      <w:r w:rsidR="00764BAA" w:rsidRPr="00B36D89">
        <w:rPr>
          <w:i/>
        </w:rPr>
        <w:t xml:space="preserve">både </w:t>
      </w:r>
      <w:r w:rsidR="00764BAA" w:rsidRPr="00B36D89">
        <w:t>et praktisk og yrkesfaglig tilbud</w:t>
      </w:r>
      <w:r w:rsidR="00764BAA" w:rsidRPr="00B36D89">
        <w:rPr>
          <w:i/>
        </w:rPr>
        <w:t xml:space="preserve"> og</w:t>
      </w:r>
      <w:r w:rsidR="00764BAA" w:rsidRPr="00B36D89">
        <w:t xml:space="preserve"> opplæring i fellesfag som gir </w:t>
      </w:r>
      <w:r w:rsidR="00E70245" w:rsidRPr="00B36D89">
        <w:t xml:space="preserve">generell studiekompetanse og grunnlag for å mestre akademiske studier. </w:t>
      </w:r>
      <w:r w:rsidR="00764BAA" w:rsidRPr="00B36D89">
        <w:t xml:space="preserve"> Skolenes muligheter til å utvikle slike tilbud vil øke når det gis større fleksibilitet i plassering av fag, som foreslått i </w:t>
      </w:r>
      <w:proofErr w:type="spellStart"/>
      <w:r w:rsidR="00764BAA" w:rsidRPr="00B36D89">
        <w:t>kap</w:t>
      </w:r>
      <w:proofErr w:type="spellEnd"/>
      <w:r w:rsidR="00764BAA" w:rsidRPr="00B36D89">
        <w:t xml:space="preserve">. 6.4.1. Norsk Lektorlag foreslår at departementet lar ulike skoler videreutvikle sine ulike tilbud som </w:t>
      </w:r>
      <w:r w:rsidR="00764BAA" w:rsidRPr="00B36D89">
        <w:rPr>
          <w:i/>
        </w:rPr>
        <w:t>hybrider</w:t>
      </w:r>
      <w:r w:rsidR="00166C06" w:rsidRPr="00B36D89">
        <w:t xml:space="preserve"> </w:t>
      </w:r>
      <w:r w:rsidR="00764BAA" w:rsidRPr="00B36D89">
        <w:t xml:space="preserve">og evaluerer disse etter en gitt periode, jfr. det som sies om manglende studier av de studieforberedende utdanningsprogrammene i evalueringen av Kunnskapsløftet. Inntil slike studier foreligger, mangler vi et godt beslutningsgrunnlag. </w:t>
      </w:r>
    </w:p>
    <w:p w14:paraId="0351CA7E" w14:textId="11E497B4" w:rsidR="00764BAA" w:rsidRPr="00B36D89" w:rsidRDefault="006D43B8" w:rsidP="00166C06">
      <w:pPr>
        <w:widowControl w:val="0"/>
        <w:autoSpaceDE w:val="0"/>
        <w:autoSpaceDN w:val="0"/>
        <w:adjustRightInd w:val="0"/>
        <w:spacing w:after="240"/>
      </w:pPr>
      <w:r>
        <w:rPr>
          <w:b/>
        </w:rPr>
        <w:t>Forslag 10</w:t>
      </w:r>
      <w:bookmarkStart w:id="0" w:name="_GoBack"/>
      <w:bookmarkEnd w:id="0"/>
      <w:r w:rsidR="00764BAA" w:rsidRPr="00B36D89">
        <w:rPr>
          <w:b/>
        </w:rPr>
        <w:t xml:space="preserve">: </w:t>
      </w:r>
      <w:r w:rsidR="00CE68B6" w:rsidRPr="00B36D89">
        <w:rPr>
          <w:b/>
        </w:rPr>
        <w:t>y-veien</w:t>
      </w:r>
      <w:r w:rsidR="00CE68B6" w:rsidRPr="00B36D89">
        <w:t xml:space="preserve"> </w:t>
      </w:r>
      <w:r w:rsidR="00764BAA" w:rsidRPr="00B36D89">
        <w:t>Samordna opptak bør ikke la vitnemål med og uten studiekompetanse konkurrere på like vilkår. Departementet foreslår å gi elever med relevante fag- og svennebrev mulighet til å søke opptak gjennom Samordna opptak til inge</w:t>
      </w:r>
      <w:r w:rsidR="00166C06" w:rsidRPr="00B36D89">
        <w:t>niørutdanninger, yrkesfaglærer-</w:t>
      </w:r>
      <w:r w:rsidR="00764BAA" w:rsidRPr="00B36D89">
        <w:t>utdanninger og utdanninger innenf</w:t>
      </w:r>
      <w:r w:rsidR="00166C06" w:rsidRPr="00B36D89">
        <w:t>or natur-</w:t>
      </w:r>
      <w:r w:rsidR="00764BAA" w:rsidRPr="00B36D89">
        <w:t xml:space="preserve">bruk (for eksempel landbruk, havbruk og maritime fag) ved høyskoler og universiteter. Dette kan bli en meget urettferdig ordning dersom elever med sluttkarakterer i fellesfag fra yrkesfaglig studieretning skal konkurrere mot elever med sluttkarakterer </w:t>
      </w:r>
      <w:r w:rsidR="00584613" w:rsidRPr="00B36D89">
        <w:t xml:space="preserve">i fellesfag </w:t>
      </w:r>
      <w:r w:rsidR="00764BAA" w:rsidRPr="00B36D89">
        <w:t xml:space="preserve">fra </w:t>
      </w:r>
      <w:r w:rsidR="00584613" w:rsidRPr="00B36D89">
        <w:t xml:space="preserve">SSP </w:t>
      </w:r>
      <w:r w:rsidR="00764BAA" w:rsidRPr="00B36D89">
        <w:t xml:space="preserve">Vg3, som tilsvarer PÅB-kurset. For det første </w:t>
      </w:r>
      <w:r w:rsidR="00584613" w:rsidRPr="00B36D89">
        <w:t xml:space="preserve">er </w:t>
      </w:r>
      <w:r w:rsidR="00764BAA" w:rsidRPr="00B36D89">
        <w:t xml:space="preserve">omfang og faglig nivå, for eksempel i norsk, atskillig mer krevende, for det andre har yrkesfaglig studieretning ingen sentralt gitt eksamener med ekstern sensor slik </w:t>
      </w:r>
      <w:r w:rsidR="00764BAA" w:rsidRPr="00B36D89">
        <w:lastRenderedPageBreak/>
        <w:t>som i SPP. Karakterstatistikk</w:t>
      </w:r>
      <w:r w:rsidR="00764BAA" w:rsidRPr="00B36D89">
        <w:rPr>
          <w:rStyle w:val="Fotnotereferanse"/>
        </w:rPr>
        <w:footnoteReference w:id="3"/>
      </w:r>
      <w:r w:rsidR="00764BAA" w:rsidRPr="00B36D89">
        <w:t xml:space="preserve"> og</w:t>
      </w:r>
      <w:r w:rsidR="00CE68B6" w:rsidRPr="00B36D89">
        <w:t xml:space="preserve"> undersøkelser</w:t>
      </w:r>
      <w:r w:rsidR="00764BAA" w:rsidRPr="00B36D89">
        <w:rPr>
          <w:rStyle w:val="Fotnotereferanse"/>
        </w:rPr>
        <w:footnoteReference w:id="4"/>
      </w:r>
      <w:r w:rsidR="00764BAA" w:rsidRPr="00B36D89">
        <w:t xml:space="preserve"> viser at karakterer satt av lærer som kjenner eleven, gjennomgående er bedre enn karakterer satt av eksterne sensorer. Innenfor Samordna opptak bør elever konkurrere på mest mulig likt nivå. </w:t>
      </w:r>
    </w:p>
    <w:p w14:paraId="73D1F0F4" w14:textId="77777777" w:rsidR="00584613" w:rsidRPr="00B36D89" w:rsidRDefault="00764BAA" w:rsidP="00166C06">
      <w:pPr>
        <w:widowControl w:val="0"/>
        <w:autoSpaceDE w:val="0"/>
        <w:autoSpaceDN w:val="0"/>
        <w:adjustRightInd w:val="0"/>
        <w:spacing w:after="240"/>
      </w:pPr>
      <w:r w:rsidRPr="00B36D89">
        <w:t xml:space="preserve">Norsk Lektorlag mener at y-veien fortsatt bør være eneste alternativ til generell studiekompetanse for dem som ønsker høyere utdanning. Det er imidlertid mulig å utvikle flere utdanningsløp gjennom videregående skole som fører til spesiell studiekompetanse – for eksempel innen sykepleie og andre helsefag. Altså flere hybrid-løp – som både kan gi praktisk yrkesopplæring og studiekompetanse </w:t>
      </w:r>
      <w:r w:rsidR="00E70245" w:rsidRPr="00B36D89">
        <w:t>.</w:t>
      </w:r>
    </w:p>
    <w:sectPr w:rsidR="00584613" w:rsidRPr="00B36D89" w:rsidSect="00584613">
      <w:footerReference w:type="even" r:id="rId9"/>
      <w:foot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59F74C" w14:textId="77777777" w:rsidR="00A568CA" w:rsidRDefault="00A568CA" w:rsidP="00764BAA">
      <w:r>
        <w:separator/>
      </w:r>
    </w:p>
  </w:endnote>
  <w:endnote w:type="continuationSeparator" w:id="0">
    <w:p w14:paraId="40EF0362" w14:textId="77777777" w:rsidR="00A568CA" w:rsidRDefault="00A568CA" w:rsidP="00764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3E0D45" w14:textId="77777777" w:rsidR="00A568CA" w:rsidRDefault="00A568CA" w:rsidP="00584613">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14:paraId="628FD333" w14:textId="77777777" w:rsidR="00A568CA" w:rsidRDefault="00A568CA" w:rsidP="00584613">
    <w:pPr>
      <w:pStyle w:val="Bunn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442728" w14:textId="77777777" w:rsidR="00A568CA" w:rsidRDefault="00A568CA" w:rsidP="00584613">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6D43B8">
      <w:rPr>
        <w:rStyle w:val="Sidetall"/>
        <w:noProof/>
      </w:rPr>
      <w:t>3</w:t>
    </w:r>
    <w:r>
      <w:rPr>
        <w:rStyle w:val="Sidetall"/>
      </w:rPr>
      <w:fldChar w:fldCharType="end"/>
    </w:r>
  </w:p>
  <w:p w14:paraId="749F1FB1" w14:textId="77777777" w:rsidR="00A568CA" w:rsidRDefault="00A568CA" w:rsidP="00584613">
    <w:pPr>
      <w:pStyle w:val="Bunn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9C16FC" w14:textId="77777777" w:rsidR="00A568CA" w:rsidRDefault="00A568CA" w:rsidP="00764BAA">
      <w:r>
        <w:separator/>
      </w:r>
    </w:p>
  </w:footnote>
  <w:footnote w:type="continuationSeparator" w:id="0">
    <w:p w14:paraId="4C136591" w14:textId="77777777" w:rsidR="00A568CA" w:rsidRDefault="00A568CA" w:rsidP="00764BAA">
      <w:r>
        <w:continuationSeparator/>
      </w:r>
    </w:p>
  </w:footnote>
  <w:footnote w:id="1">
    <w:p w14:paraId="602F3ADC" w14:textId="77777777" w:rsidR="00A568CA" w:rsidRPr="00A021E5" w:rsidRDefault="00A568CA" w:rsidP="00764BAA">
      <w:pPr>
        <w:widowControl w:val="0"/>
        <w:autoSpaceDE w:val="0"/>
        <w:autoSpaceDN w:val="0"/>
        <w:adjustRightInd w:val="0"/>
        <w:spacing w:after="240"/>
        <w:rPr>
          <w:sz w:val="20"/>
          <w:szCs w:val="20"/>
        </w:rPr>
      </w:pPr>
      <w:r>
        <w:rPr>
          <w:rStyle w:val="Fotnotereferanse"/>
        </w:rPr>
        <w:footnoteRef/>
      </w:r>
      <w:r>
        <w:t xml:space="preserve"> </w:t>
      </w:r>
      <w:r w:rsidRPr="00A021E5">
        <w:rPr>
          <w:sz w:val="20"/>
          <w:szCs w:val="20"/>
        </w:rPr>
        <w:t xml:space="preserve">Pedagogisk og faglig kompetanse blant lærere I videregående skole. Resultater fra en kartleggingsundersøkelse skoleåret 2006-2007. Are </w:t>
      </w:r>
      <w:proofErr w:type="spellStart"/>
      <w:r w:rsidRPr="00A021E5">
        <w:rPr>
          <w:sz w:val="20"/>
          <w:szCs w:val="20"/>
        </w:rPr>
        <w:t>Turmo</w:t>
      </w:r>
      <w:proofErr w:type="spellEnd"/>
      <w:r w:rsidRPr="00A021E5">
        <w:rPr>
          <w:sz w:val="20"/>
          <w:szCs w:val="20"/>
        </w:rPr>
        <w:t xml:space="preserve"> og Per O. Aamodt. NIFU, mai 2007. (…) den faglige kompetansen, her målt ved stillingstype, er klart høyere blant allmennfaglærerne i de studieforberedende enn I de yrkesrettede programmene</w:t>
      </w:r>
    </w:p>
    <w:p w14:paraId="0EF203D5" w14:textId="77777777" w:rsidR="00A568CA" w:rsidRPr="00A021E5" w:rsidRDefault="00A568CA" w:rsidP="00764BAA">
      <w:pPr>
        <w:pStyle w:val="Fotnotetekst"/>
      </w:pPr>
    </w:p>
  </w:footnote>
  <w:footnote w:id="2">
    <w:p w14:paraId="7589CA28" w14:textId="77777777" w:rsidR="00A568CA" w:rsidRPr="006D43B8" w:rsidRDefault="00A568CA" w:rsidP="004D23DC">
      <w:pPr>
        <w:widowControl w:val="0"/>
        <w:autoSpaceDE w:val="0"/>
        <w:autoSpaceDN w:val="0"/>
        <w:adjustRightInd w:val="0"/>
        <w:spacing w:after="240"/>
        <w:rPr>
          <w:rFonts w:ascii="Times" w:eastAsiaTheme="minorHAnsi" w:hAnsi="Times" w:cs="Times"/>
          <w:lang w:eastAsia="en-US"/>
        </w:rPr>
      </w:pPr>
      <w:r>
        <w:rPr>
          <w:rStyle w:val="Fotnotereferanse"/>
        </w:rPr>
        <w:footnoteRef/>
      </w:r>
      <w:r>
        <w:t xml:space="preserve"> </w:t>
      </w:r>
      <w:r w:rsidRPr="006D43B8">
        <w:rPr>
          <w:rFonts w:ascii="Times" w:eastAsiaTheme="minorHAnsi" w:hAnsi="Times" w:cs="Times"/>
          <w:sz w:val="20"/>
          <w:szCs w:val="20"/>
          <w:lang w:eastAsia="en-US"/>
        </w:rPr>
        <w:t>TIMSS Advanced 2008 viste at henholdsvis 60 prosent og 73 prosent av lærerne med fordyping i fysikk og i matematikk var over 50 år</w:t>
      </w:r>
    </w:p>
    <w:p w14:paraId="421D612F" w14:textId="77777777" w:rsidR="00A568CA" w:rsidRPr="004D23DC" w:rsidRDefault="00A568CA">
      <w:pPr>
        <w:pStyle w:val="Fotnotetekst"/>
      </w:pPr>
    </w:p>
  </w:footnote>
  <w:footnote w:id="3">
    <w:p w14:paraId="7C261D44" w14:textId="77777777" w:rsidR="00A568CA" w:rsidRDefault="00A568CA" w:rsidP="00764BAA">
      <w:pPr>
        <w:pStyle w:val="Fotnotetekst"/>
        <w:rPr>
          <w:sz w:val="18"/>
          <w:szCs w:val="18"/>
          <w:lang w:val="pl-PL"/>
        </w:rPr>
      </w:pPr>
      <w:r>
        <w:rPr>
          <w:rStyle w:val="Fotnotereferanse"/>
        </w:rPr>
        <w:footnoteRef/>
      </w:r>
      <w:r>
        <w:t xml:space="preserve"> </w:t>
      </w:r>
      <w:hyperlink r:id="rId1" w:history="1">
        <w:r w:rsidRPr="009D43C1">
          <w:rPr>
            <w:rStyle w:val="Hyperkobling"/>
            <w:sz w:val="18"/>
            <w:szCs w:val="18"/>
            <w:lang w:val="pl-PL"/>
          </w:rPr>
          <w:t>http://www.osloby.no/nyheter/Standpunkt-4_1-i-karaktersnitt--Eksamen-2_8-i-karaktersnitt-7122384.html</w:t>
        </w:r>
      </w:hyperlink>
    </w:p>
    <w:p w14:paraId="5D3DA7B2" w14:textId="77777777" w:rsidR="00A568CA" w:rsidRPr="009E660C" w:rsidRDefault="00A568CA" w:rsidP="00764BAA">
      <w:pPr>
        <w:pStyle w:val="Fotnotetekst"/>
      </w:pPr>
    </w:p>
    <w:p w14:paraId="21574A62" w14:textId="77777777" w:rsidR="00A568CA" w:rsidRPr="009E660C" w:rsidRDefault="00A568CA" w:rsidP="00764BAA">
      <w:pPr>
        <w:pStyle w:val="Fotnotetekst"/>
      </w:pPr>
    </w:p>
  </w:footnote>
  <w:footnote w:id="4">
    <w:p w14:paraId="2CCD489A" w14:textId="77777777" w:rsidR="00A568CA" w:rsidRPr="009E660C" w:rsidRDefault="00A568CA" w:rsidP="00764BAA">
      <w:pPr>
        <w:rPr>
          <w:rFonts w:eastAsia="Times New Roman" w:cs="Times New Roman"/>
          <w:sz w:val="20"/>
          <w:szCs w:val="20"/>
        </w:rPr>
      </w:pPr>
      <w:r>
        <w:rPr>
          <w:rStyle w:val="Fotnotereferanse"/>
        </w:rPr>
        <w:footnoteRef/>
      </w:r>
      <w:r>
        <w:t xml:space="preserve"> </w:t>
      </w:r>
      <w:r w:rsidRPr="009E660C">
        <w:rPr>
          <w:rFonts w:eastAsia="Times New Roman" w:cs="Times New Roman"/>
          <w:sz w:val="20"/>
          <w:szCs w:val="20"/>
        </w:rPr>
        <w:t>Et forsøksprosjekt med utvalgte prøver på seks videregående skoler i Rogaland kommer det frem tydelige forskjeller mellom karakterer gitt av elevenes faste lærere og anonyme sensorer.</w:t>
      </w:r>
    </w:p>
    <w:p w14:paraId="5A66FBDC" w14:textId="77777777" w:rsidR="00A568CA" w:rsidRDefault="00A568CA" w:rsidP="00764BAA">
      <w:pPr>
        <w:rPr>
          <w:rStyle w:val="Hyperkobling"/>
          <w:rFonts w:eastAsia="Times New Roman" w:cs="Times New Roman"/>
          <w:sz w:val="20"/>
          <w:szCs w:val="20"/>
        </w:rPr>
      </w:pPr>
      <w:r w:rsidRPr="009E660C">
        <w:rPr>
          <w:rFonts w:eastAsia="Times New Roman" w:cs="Times New Roman"/>
          <w:sz w:val="20"/>
          <w:szCs w:val="20"/>
        </w:rPr>
        <w:t>Lokalt utarbeidete eksamener i to fag er undersøkt; norsk og matematikk for yrkesfag. I halvparten av de undersøkte norskeksamenene var forskjellen på én til to karakterer.</w:t>
      </w:r>
      <w:r>
        <w:rPr>
          <w:rFonts w:eastAsia="Times New Roman" w:cs="Times New Roman"/>
          <w:sz w:val="20"/>
          <w:szCs w:val="20"/>
        </w:rPr>
        <w:t xml:space="preserve"> </w:t>
      </w:r>
      <w:hyperlink r:id="rId2" w:history="1">
        <w:r w:rsidRPr="009E660C">
          <w:rPr>
            <w:rStyle w:val="Hyperkobling"/>
            <w:rFonts w:eastAsia="Times New Roman" w:cs="Times New Roman"/>
            <w:sz w:val="20"/>
            <w:szCs w:val="20"/>
          </w:rPr>
          <w:t>http://www.nrk.no/nyheter/distrikt/rogaland/1.8040572</w:t>
        </w:r>
      </w:hyperlink>
    </w:p>
    <w:p w14:paraId="3BD8FE70" w14:textId="77777777" w:rsidR="00A568CA" w:rsidRDefault="00A568CA" w:rsidP="00764BAA">
      <w:pPr>
        <w:rPr>
          <w:rFonts w:eastAsia="Times New Roman" w:cs="Times New Roman"/>
        </w:rPr>
      </w:pPr>
    </w:p>
    <w:p w14:paraId="0EA5EE86" w14:textId="77777777" w:rsidR="00A568CA" w:rsidRPr="009E660C" w:rsidRDefault="00A568CA" w:rsidP="00764BAA">
      <w:pPr>
        <w:rPr>
          <w:rFonts w:eastAsia="Times New Roman" w:cs="Times New Roman"/>
          <w:sz w:val="20"/>
          <w:szCs w:val="20"/>
        </w:rPr>
      </w:pPr>
    </w:p>
    <w:p w14:paraId="0EBC4A5F" w14:textId="77777777" w:rsidR="00A568CA" w:rsidRPr="009E660C" w:rsidRDefault="00A568CA" w:rsidP="00764BAA">
      <w:pPr>
        <w:pStyle w:val="Fotnotetekst"/>
        <w:rPr>
          <w:sz w:val="20"/>
          <w:szCs w:val="20"/>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BAA"/>
    <w:rsid w:val="000A5A18"/>
    <w:rsid w:val="00166C06"/>
    <w:rsid w:val="001E1D5D"/>
    <w:rsid w:val="003327A8"/>
    <w:rsid w:val="004D23DC"/>
    <w:rsid w:val="0053272C"/>
    <w:rsid w:val="00584613"/>
    <w:rsid w:val="006D43B8"/>
    <w:rsid w:val="00764BAA"/>
    <w:rsid w:val="007F1C4F"/>
    <w:rsid w:val="0095058B"/>
    <w:rsid w:val="00A568CA"/>
    <w:rsid w:val="00AB7DE4"/>
    <w:rsid w:val="00B36D89"/>
    <w:rsid w:val="00CE68B6"/>
    <w:rsid w:val="00E70245"/>
    <w:rsid w:val="00EB22EB"/>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F8C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BAA"/>
    <w:pPr>
      <w:spacing w:after="0" w:line="240" w:lineRule="auto"/>
    </w:pPr>
    <w:rPr>
      <w:rFonts w:eastAsiaTheme="minorEastAsia"/>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764BAA"/>
    <w:pPr>
      <w:ind w:left="720"/>
      <w:contextualSpacing/>
    </w:pPr>
  </w:style>
  <w:style w:type="paragraph" w:styleId="Bunntekst">
    <w:name w:val="footer"/>
    <w:basedOn w:val="Normal"/>
    <w:link w:val="BunntekstTegn"/>
    <w:uiPriority w:val="99"/>
    <w:unhideWhenUsed/>
    <w:rsid w:val="00764BAA"/>
    <w:pPr>
      <w:tabs>
        <w:tab w:val="center" w:pos="4536"/>
        <w:tab w:val="right" w:pos="9072"/>
      </w:tabs>
    </w:pPr>
  </w:style>
  <w:style w:type="character" w:customStyle="1" w:styleId="BunntekstTegn">
    <w:name w:val="Bunntekst Tegn"/>
    <w:basedOn w:val="Standardskriftforavsnitt"/>
    <w:link w:val="Bunntekst"/>
    <w:uiPriority w:val="99"/>
    <w:rsid w:val="00764BAA"/>
    <w:rPr>
      <w:rFonts w:eastAsiaTheme="minorEastAsia"/>
      <w:sz w:val="24"/>
      <w:szCs w:val="24"/>
      <w:lang w:eastAsia="nb-NO"/>
    </w:rPr>
  </w:style>
  <w:style w:type="character" w:styleId="Sidetall">
    <w:name w:val="page number"/>
    <w:basedOn w:val="Standardskriftforavsnitt"/>
    <w:uiPriority w:val="99"/>
    <w:semiHidden/>
    <w:unhideWhenUsed/>
    <w:rsid w:val="00764BAA"/>
  </w:style>
  <w:style w:type="paragraph" w:styleId="Fotnotetekst">
    <w:name w:val="footnote text"/>
    <w:basedOn w:val="Normal"/>
    <w:link w:val="FotnotetekstTegn"/>
    <w:uiPriority w:val="99"/>
    <w:unhideWhenUsed/>
    <w:rsid w:val="00764BAA"/>
  </w:style>
  <w:style w:type="character" w:customStyle="1" w:styleId="FotnotetekstTegn">
    <w:name w:val="Fotnotetekst Tegn"/>
    <w:basedOn w:val="Standardskriftforavsnitt"/>
    <w:link w:val="Fotnotetekst"/>
    <w:uiPriority w:val="99"/>
    <w:rsid w:val="00764BAA"/>
    <w:rPr>
      <w:rFonts w:eastAsiaTheme="minorEastAsia"/>
      <w:sz w:val="24"/>
      <w:szCs w:val="24"/>
      <w:lang w:eastAsia="nb-NO"/>
    </w:rPr>
  </w:style>
  <w:style w:type="character" w:styleId="Fotnotereferanse">
    <w:name w:val="footnote reference"/>
    <w:basedOn w:val="Standardskriftforavsnitt"/>
    <w:uiPriority w:val="99"/>
    <w:unhideWhenUsed/>
    <w:rsid w:val="00764BAA"/>
    <w:rPr>
      <w:vertAlign w:val="superscript"/>
    </w:rPr>
  </w:style>
  <w:style w:type="character" w:styleId="Hyperkobling">
    <w:name w:val="Hyperlink"/>
    <w:basedOn w:val="Standardskriftforavsnitt"/>
    <w:uiPriority w:val="99"/>
    <w:unhideWhenUsed/>
    <w:rsid w:val="00764BAA"/>
    <w:rPr>
      <w:color w:val="0000FF" w:themeColor="hyperlink"/>
      <w:u w:val="single"/>
    </w:rPr>
  </w:style>
  <w:style w:type="paragraph" w:styleId="Bobletekst">
    <w:name w:val="Balloon Text"/>
    <w:basedOn w:val="Normal"/>
    <w:link w:val="BobletekstTegn"/>
    <w:uiPriority w:val="99"/>
    <w:semiHidden/>
    <w:unhideWhenUsed/>
    <w:rsid w:val="00764BAA"/>
    <w:rPr>
      <w:rFonts w:ascii="Tahoma" w:hAnsi="Tahoma" w:cs="Tahoma"/>
      <w:sz w:val="16"/>
      <w:szCs w:val="16"/>
    </w:rPr>
  </w:style>
  <w:style w:type="character" w:customStyle="1" w:styleId="BobletekstTegn">
    <w:name w:val="Bobletekst Tegn"/>
    <w:basedOn w:val="Standardskriftforavsnitt"/>
    <w:link w:val="Bobletekst"/>
    <w:uiPriority w:val="99"/>
    <w:semiHidden/>
    <w:rsid w:val="00764BAA"/>
    <w:rPr>
      <w:rFonts w:ascii="Tahoma" w:eastAsiaTheme="minorEastAsia" w:hAnsi="Tahoma" w:cs="Tahoma"/>
      <w:sz w:val="16"/>
      <w:szCs w:val="16"/>
      <w:lang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BAA"/>
    <w:pPr>
      <w:spacing w:after="0" w:line="240" w:lineRule="auto"/>
    </w:pPr>
    <w:rPr>
      <w:rFonts w:eastAsiaTheme="minorEastAsia"/>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764BAA"/>
    <w:pPr>
      <w:ind w:left="720"/>
      <w:contextualSpacing/>
    </w:pPr>
  </w:style>
  <w:style w:type="paragraph" w:styleId="Bunntekst">
    <w:name w:val="footer"/>
    <w:basedOn w:val="Normal"/>
    <w:link w:val="BunntekstTegn"/>
    <w:uiPriority w:val="99"/>
    <w:unhideWhenUsed/>
    <w:rsid w:val="00764BAA"/>
    <w:pPr>
      <w:tabs>
        <w:tab w:val="center" w:pos="4536"/>
        <w:tab w:val="right" w:pos="9072"/>
      </w:tabs>
    </w:pPr>
  </w:style>
  <w:style w:type="character" w:customStyle="1" w:styleId="BunntekstTegn">
    <w:name w:val="Bunntekst Tegn"/>
    <w:basedOn w:val="Standardskriftforavsnitt"/>
    <w:link w:val="Bunntekst"/>
    <w:uiPriority w:val="99"/>
    <w:rsid w:val="00764BAA"/>
    <w:rPr>
      <w:rFonts w:eastAsiaTheme="minorEastAsia"/>
      <w:sz w:val="24"/>
      <w:szCs w:val="24"/>
      <w:lang w:eastAsia="nb-NO"/>
    </w:rPr>
  </w:style>
  <w:style w:type="character" w:styleId="Sidetall">
    <w:name w:val="page number"/>
    <w:basedOn w:val="Standardskriftforavsnitt"/>
    <w:uiPriority w:val="99"/>
    <w:semiHidden/>
    <w:unhideWhenUsed/>
    <w:rsid w:val="00764BAA"/>
  </w:style>
  <w:style w:type="paragraph" w:styleId="Fotnotetekst">
    <w:name w:val="footnote text"/>
    <w:basedOn w:val="Normal"/>
    <w:link w:val="FotnotetekstTegn"/>
    <w:uiPriority w:val="99"/>
    <w:unhideWhenUsed/>
    <w:rsid w:val="00764BAA"/>
  </w:style>
  <w:style w:type="character" w:customStyle="1" w:styleId="FotnotetekstTegn">
    <w:name w:val="Fotnotetekst Tegn"/>
    <w:basedOn w:val="Standardskriftforavsnitt"/>
    <w:link w:val="Fotnotetekst"/>
    <w:uiPriority w:val="99"/>
    <w:rsid w:val="00764BAA"/>
    <w:rPr>
      <w:rFonts w:eastAsiaTheme="minorEastAsia"/>
      <w:sz w:val="24"/>
      <w:szCs w:val="24"/>
      <w:lang w:eastAsia="nb-NO"/>
    </w:rPr>
  </w:style>
  <w:style w:type="character" w:styleId="Fotnotereferanse">
    <w:name w:val="footnote reference"/>
    <w:basedOn w:val="Standardskriftforavsnitt"/>
    <w:uiPriority w:val="99"/>
    <w:unhideWhenUsed/>
    <w:rsid w:val="00764BAA"/>
    <w:rPr>
      <w:vertAlign w:val="superscript"/>
    </w:rPr>
  </w:style>
  <w:style w:type="character" w:styleId="Hyperkobling">
    <w:name w:val="Hyperlink"/>
    <w:basedOn w:val="Standardskriftforavsnitt"/>
    <w:uiPriority w:val="99"/>
    <w:unhideWhenUsed/>
    <w:rsid w:val="00764BAA"/>
    <w:rPr>
      <w:color w:val="0000FF" w:themeColor="hyperlink"/>
      <w:u w:val="single"/>
    </w:rPr>
  </w:style>
  <w:style w:type="paragraph" w:styleId="Bobletekst">
    <w:name w:val="Balloon Text"/>
    <w:basedOn w:val="Normal"/>
    <w:link w:val="BobletekstTegn"/>
    <w:uiPriority w:val="99"/>
    <w:semiHidden/>
    <w:unhideWhenUsed/>
    <w:rsid w:val="00764BAA"/>
    <w:rPr>
      <w:rFonts w:ascii="Tahoma" w:hAnsi="Tahoma" w:cs="Tahoma"/>
      <w:sz w:val="16"/>
      <w:szCs w:val="16"/>
    </w:rPr>
  </w:style>
  <w:style w:type="character" w:customStyle="1" w:styleId="BobletekstTegn">
    <w:name w:val="Bobletekst Tegn"/>
    <w:basedOn w:val="Standardskriftforavsnitt"/>
    <w:link w:val="Bobletekst"/>
    <w:uiPriority w:val="99"/>
    <w:semiHidden/>
    <w:rsid w:val="00764BAA"/>
    <w:rPr>
      <w:rFonts w:ascii="Tahoma" w:eastAsiaTheme="minorEastAsia" w:hAnsi="Tahoma" w:cs="Tahoma"/>
      <w:sz w:val="16"/>
      <w:szCs w:val="16"/>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nrk.no/nyheter/distrikt/rogaland/1.8040572" TargetMode="External"/><Relationship Id="rId1" Type="http://schemas.openxmlformats.org/officeDocument/2006/relationships/hyperlink" Target="http://www.osloby.no/nyheter/Standpunkt-4_1-i-karaktersnitt--Eksamen-2_8-i-karaktersnitt-7122384.html"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1545</Words>
  <Characters>8189</Characters>
  <Application>Microsoft Office Word</Application>
  <DocSecurity>4</DocSecurity>
  <Lines>68</Lines>
  <Paragraphs>19</Paragraphs>
  <ScaleCrop>false</ScaleCrop>
  <HeadingPairs>
    <vt:vector size="2" baseType="variant">
      <vt:variant>
        <vt:lpstr>Tittel</vt:lpstr>
      </vt:variant>
      <vt:variant>
        <vt:i4>1</vt:i4>
      </vt:variant>
    </vt:vector>
  </HeadingPairs>
  <TitlesOfParts>
    <vt:vector size="1" baseType="lpstr">
      <vt:lpstr/>
    </vt:vector>
  </TitlesOfParts>
  <Company>Norsk Lektorlag</Company>
  <LinksUpToDate>false</LinksUpToDate>
  <CharactersWithSpaces>9715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Inger Johanne Rein</dc:creator>
  <cp:lastModifiedBy>Inger Johanne Rein</cp:lastModifiedBy>
  <cp:revision>2</cp:revision>
  <cp:lastPrinted>2013-04-15T07:17:00Z</cp:lastPrinted>
  <dcterms:created xsi:type="dcterms:W3CDTF">2013-04-15T10:08:00Z</dcterms:created>
  <dcterms:modified xsi:type="dcterms:W3CDTF">2013-04-15T10:08:00Z</dcterms:modified>
</cp:coreProperties>
</file>